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93FB" w14:textId="77777777" w:rsidR="00EF1CDF" w:rsidRDefault="00A505AB">
      <w:pPr>
        <w:rPr>
          <w:b/>
          <w:u w:val="single"/>
        </w:rPr>
      </w:pPr>
      <w:r>
        <w:rPr>
          <w:b/>
          <w:u w:val="single"/>
        </w:rPr>
        <w:t>Recording Non-attendance Subcodes in SIMS</w:t>
      </w:r>
    </w:p>
    <w:p w14:paraId="79CECE5C" w14:textId="77777777" w:rsidR="00EF1CDF" w:rsidRDefault="00A505AB">
      <w:r>
        <w:t xml:space="preserve">The DfE has defined a set of sub codes to record non-attendance in relation to coronavirus and to help with completing the educational settings status form. Use of the sub codes is not compulsory and are not </w:t>
      </w:r>
      <w:r>
        <w:t>recorded in Statutory Returns, although it does give consistency in the non-attendance due to coronavirus.</w:t>
      </w:r>
    </w:p>
    <w:p w14:paraId="0DCF98E2" w14:textId="77777777" w:rsidR="00EF1CDF" w:rsidRDefault="00A505AB">
      <w:r>
        <w:t>The non-attendance subcodes can be applied in SIMS.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6237"/>
      </w:tblGrid>
      <w:tr w:rsidR="00EF1CDF" w14:paraId="62CF9950" w14:textId="77777777">
        <w:trPr>
          <w:trHeight w:val="310"/>
        </w:trPr>
        <w:tc>
          <w:tcPr>
            <w:tcW w:w="1134" w:type="dxa"/>
          </w:tcPr>
          <w:p w14:paraId="7028DA82" w14:textId="77777777" w:rsidR="00EF1CDF" w:rsidRDefault="00A505AB">
            <w:pPr>
              <w:jc w:val="center"/>
              <w:rPr>
                <w:b/>
              </w:rPr>
            </w:pPr>
            <w:r>
              <w:rPr>
                <w:b/>
              </w:rPr>
              <w:t>Subcode</w:t>
            </w:r>
          </w:p>
        </w:tc>
        <w:tc>
          <w:tcPr>
            <w:tcW w:w="3261" w:type="dxa"/>
          </w:tcPr>
          <w:p w14:paraId="6A53A735" w14:textId="77777777" w:rsidR="00EF1CDF" w:rsidRDefault="00A505AB">
            <w:pPr>
              <w:jc w:val="center"/>
              <w:rPr>
                <w:b/>
              </w:rPr>
            </w:pPr>
            <w:r>
              <w:rPr>
                <w:b/>
              </w:rPr>
              <w:t>SIMS Subcode Description</w:t>
            </w:r>
          </w:p>
        </w:tc>
        <w:tc>
          <w:tcPr>
            <w:tcW w:w="6237" w:type="dxa"/>
          </w:tcPr>
          <w:p w14:paraId="2642915E" w14:textId="77777777" w:rsidR="00EF1CDF" w:rsidRDefault="00A505AB">
            <w:pPr>
              <w:jc w:val="center"/>
              <w:rPr>
                <w:b/>
              </w:rPr>
            </w:pPr>
            <w:r>
              <w:rPr>
                <w:b/>
              </w:rPr>
              <w:t>Educational Settings Form</w:t>
            </w:r>
          </w:p>
        </w:tc>
      </w:tr>
      <w:tr w:rsidR="00EF1CDF" w14:paraId="65540B2A" w14:textId="77777777">
        <w:trPr>
          <w:trHeight w:val="249"/>
        </w:trPr>
        <w:tc>
          <w:tcPr>
            <w:tcW w:w="1134" w:type="dxa"/>
          </w:tcPr>
          <w:p w14:paraId="51398DEB" w14:textId="77777777" w:rsidR="00EF1CDF" w:rsidRDefault="00A505AB">
            <w:pPr>
              <w:jc w:val="center"/>
            </w:pPr>
            <w:r>
              <w:t>X01</w:t>
            </w:r>
          </w:p>
        </w:tc>
        <w:tc>
          <w:tcPr>
            <w:tcW w:w="3261" w:type="dxa"/>
          </w:tcPr>
          <w:p w14:paraId="280653E1" w14:textId="77777777" w:rsidR="00EF1CDF" w:rsidRDefault="00A505AB">
            <w:r>
              <w:t>Non-compulsory school age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5CC9A9C" w14:textId="77777777" w:rsidR="00EF1CDF" w:rsidRDefault="00EF1CDF"/>
        </w:tc>
      </w:tr>
      <w:tr w:rsidR="00EF1CDF" w14:paraId="4C3EFB72" w14:textId="77777777">
        <w:trPr>
          <w:trHeight w:val="526"/>
        </w:trPr>
        <w:tc>
          <w:tcPr>
            <w:tcW w:w="1134" w:type="dxa"/>
          </w:tcPr>
          <w:p w14:paraId="643D48CF" w14:textId="77777777" w:rsidR="00EF1CDF" w:rsidRDefault="00A505AB">
            <w:pPr>
              <w:jc w:val="center"/>
            </w:pPr>
            <w:r>
              <w:t>X02</w:t>
            </w:r>
          </w:p>
        </w:tc>
        <w:tc>
          <w:tcPr>
            <w:tcW w:w="3261" w:type="dxa"/>
          </w:tcPr>
          <w:p w14:paraId="1E1F2563" w14:textId="77777777" w:rsidR="00EF1CDF" w:rsidRDefault="00A505AB">
            <w:r>
              <w:t>S</w:t>
            </w:r>
            <w:r>
              <w:t>elf-isolating – COVID-19 symptoms</w:t>
            </w:r>
          </w:p>
        </w:tc>
        <w:tc>
          <w:tcPr>
            <w:tcW w:w="6237" w:type="dxa"/>
          </w:tcPr>
          <w:p w14:paraId="2BEA07EE" w14:textId="77777777" w:rsidR="00EF1CDF" w:rsidRDefault="00A505AB">
            <w:r>
              <w:t>Suspected case of coronavirus (COVID-19)</w:t>
            </w:r>
          </w:p>
        </w:tc>
      </w:tr>
      <w:tr w:rsidR="00EF1CDF" w14:paraId="2A98D6C7" w14:textId="77777777">
        <w:trPr>
          <w:trHeight w:val="839"/>
        </w:trPr>
        <w:tc>
          <w:tcPr>
            <w:tcW w:w="1134" w:type="dxa"/>
          </w:tcPr>
          <w:p w14:paraId="274110EB" w14:textId="77777777" w:rsidR="00EF1CDF" w:rsidRDefault="00A505AB">
            <w:pPr>
              <w:jc w:val="center"/>
            </w:pPr>
            <w:r>
              <w:t>X03</w:t>
            </w:r>
          </w:p>
        </w:tc>
        <w:tc>
          <w:tcPr>
            <w:tcW w:w="3261" w:type="dxa"/>
          </w:tcPr>
          <w:p w14:paraId="0632CC4F" w14:textId="77777777" w:rsidR="00EF1CDF" w:rsidRDefault="00A505AB">
            <w:pPr>
              <w:tabs>
                <w:tab w:val="left" w:pos="1345"/>
              </w:tabs>
            </w:pPr>
            <w:r>
              <w:t>Self-isolating – COVID-19 contact inside school</w:t>
            </w:r>
          </w:p>
        </w:tc>
        <w:tc>
          <w:tcPr>
            <w:tcW w:w="6237" w:type="dxa"/>
          </w:tcPr>
          <w:p w14:paraId="65D4AA5E" w14:textId="77777777" w:rsidR="00EF1CDF" w:rsidRDefault="00A505AB">
            <w:pPr>
              <w:tabs>
                <w:tab w:val="left" w:pos="1345"/>
              </w:tabs>
            </w:pPr>
            <w:r>
              <w:t xml:space="preserve">Requested to remain at home by your setting due to close contact with a confirmed case of coronavirus (COVID-19) within your </w:t>
            </w:r>
            <w:r>
              <w:t>school</w:t>
            </w:r>
          </w:p>
        </w:tc>
      </w:tr>
      <w:tr w:rsidR="00EF1CDF" w14:paraId="03377B6E" w14:textId="77777777">
        <w:trPr>
          <w:trHeight w:val="769"/>
        </w:trPr>
        <w:tc>
          <w:tcPr>
            <w:tcW w:w="1134" w:type="dxa"/>
          </w:tcPr>
          <w:p w14:paraId="44746915" w14:textId="77777777" w:rsidR="00EF1CDF" w:rsidRDefault="00A505AB">
            <w:pPr>
              <w:jc w:val="center"/>
            </w:pPr>
            <w:r>
              <w:t>X04</w:t>
            </w:r>
          </w:p>
        </w:tc>
        <w:tc>
          <w:tcPr>
            <w:tcW w:w="3261" w:type="dxa"/>
          </w:tcPr>
          <w:p w14:paraId="40F02DD6" w14:textId="77777777" w:rsidR="00EF1CDF" w:rsidRDefault="00A505AB">
            <w:r>
              <w:t>Self-isolating – COVID-19 contact outside school</w:t>
            </w:r>
          </w:p>
        </w:tc>
        <w:tc>
          <w:tcPr>
            <w:tcW w:w="6237" w:type="dxa"/>
          </w:tcPr>
          <w:p w14:paraId="591B3119" w14:textId="77777777" w:rsidR="00EF1CDF" w:rsidRDefault="00A505AB">
            <w:r>
              <w:t>Those remaining at home due to close contact with a confirmed case of coronavirus (COVID- 19) from outside your educational setting including self-isolation</w:t>
            </w:r>
          </w:p>
        </w:tc>
      </w:tr>
      <w:tr w:rsidR="00EF1CDF" w14:paraId="4FD43595" w14:textId="77777777">
        <w:trPr>
          <w:trHeight w:val="249"/>
        </w:trPr>
        <w:tc>
          <w:tcPr>
            <w:tcW w:w="1134" w:type="dxa"/>
          </w:tcPr>
          <w:p w14:paraId="0286DB4B" w14:textId="77777777" w:rsidR="00EF1CDF" w:rsidRDefault="00A505AB">
            <w:pPr>
              <w:jc w:val="center"/>
            </w:pPr>
            <w:r>
              <w:t>X05</w:t>
            </w:r>
          </w:p>
        </w:tc>
        <w:tc>
          <w:tcPr>
            <w:tcW w:w="3261" w:type="dxa"/>
          </w:tcPr>
          <w:p w14:paraId="0A9785CC" w14:textId="77777777" w:rsidR="00EF1CDF" w:rsidRDefault="00A505AB">
            <w:r>
              <w:t xml:space="preserve">Quarantine – </w:t>
            </w:r>
            <w:r>
              <w:t>self-isolating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1F49A66" w14:textId="77777777" w:rsidR="00EF1CDF" w:rsidRDefault="00EF1CDF"/>
        </w:tc>
      </w:tr>
      <w:tr w:rsidR="00EF1CDF" w14:paraId="195E0FBD" w14:textId="77777777">
        <w:trPr>
          <w:trHeight w:val="236"/>
        </w:trPr>
        <w:tc>
          <w:tcPr>
            <w:tcW w:w="1134" w:type="dxa"/>
          </w:tcPr>
          <w:p w14:paraId="1B186694" w14:textId="77777777" w:rsidR="00EF1CDF" w:rsidRDefault="00A505AB">
            <w:pPr>
              <w:jc w:val="center"/>
            </w:pPr>
            <w:r>
              <w:t>X06</w:t>
            </w:r>
          </w:p>
        </w:tc>
        <w:tc>
          <w:tcPr>
            <w:tcW w:w="3261" w:type="dxa"/>
          </w:tcPr>
          <w:p w14:paraId="12240041" w14:textId="77777777" w:rsidR="00EF1CDF" w:rsidRDefault="00A505AB">
            <w:r>
              <w:t>Clinical advice not to attend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A2A71D8" w14:textId="77777777" w:rsidR="00EF1CDF" w:rsidRDefault="00EF1CDF"/>
        </w:tc>
      </w:tr>
      <w:tr w:rsidR="00EF1CDF" w14:paraId="7A54285C" w14:textId="77777777">
        <w:trPr>
          <w:trHeight w:val="281"/>
        </w:trPr>
        <w:tc>
          <w:tcPr>
            <w:tcW w:w="1134" w:type="dxa"/>
          </w:tcPr>
          <w:p w14:paraId="488E75D7" w14:textId="77777777" w:rsidR="00EF1CDF" w:rsidRDefault="00A505AB">
            <w:pPr>
              <w:jc w:val="center"/>
            </w:pPr>
            <w:r>
              <w:t>X07</w:t>
            </w:r>
          </w:p>
        </w:tc>
        <w:tc>
          <w:tcPr>
            <w:tcW w:w="3261" w:type="dxa"/>
          </w:tcPr>
          <w:p w14:paraId="1C4B8B14" w14:textId="77777777" w:rsidR="00EF1CDF" w:rsidRDefault="00A505AB">
            <w:r>
              <w:t>Government advice not to attend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234D2B" w14:textId="77777777" w:rsidR="00EF1CDF" w:rsidRDefault="00EF1CDF"/>
        </w:tc>
      </w:tr>
      <w:tr w:rsidR="00EF1CDF" w14:paraId="79169BB3" w14:textId="77777777">
        <w:trPr>
          <w:trHeight w:val="249"/>
        </w:trPr>
        <w:tc>
          <w:tcPr>
            <w:tcW w:w="1134" w:type="dxa"/>
          </w:tcPr>
          <w:p w14:paraId="099D450A" w14:textId="77777777" w:rsidR="00EF1CDF" w:rsidRDefault="00A505AB">
            <w:pPr>
              <w:jc w:val="center"/>
            </w:pPr>
            <w:r>
              <w:t>I01</w:t>
            </w:r>
          </w:p>
        </w:tc>
        <w:tc>
          <w:tcPr>
            <w:tcW w:w="3261" w:type="dxa"/>
          </w:tcPr>
          <w:p w14:paraId="716E4E99" w14:textId="77777777" w:rsidR="00EF1CDF" w:rsidRDefault="00A505AB">
            <w:r>
              <w:t>Illness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FCA25BD" w14:textId="77777777" w:rsidR="00EF1CDF" w:rsidRDefault="00EF1CDF"/>
        </w:tc>
      </w:tr>
      <w:tr w:rsidR="00EF1CDF" w14:paraId="42A4E6FE" w14:textId="77777777">
        <w:trPr>
          <w:trHeight w:val="298"/>
        </w:trPr>
        <w:tc>
          <w:tcPr>
            <w:tcW w:w="1134" w:type="dxa"/>
          </w:tcPr>
          <w:p w14:paraId="73600C46" w14:textId="77777777" w:rsidR="00EF1CDF" w:rsidRDefault="00A505AB">
            <w:pPr>
              <w:jc w:val="center"/>
            </w:pPr>
            <w:r>
              <w:t>I02</w:t>
            </w:r>
          </w:p>
        </w:tc>
        <w:tc>
          <w:tcPr>
            <w:tcW w:w="3261" w:type="dxa"/>
          </w:tcPr>
          <w:p w14:paraId="46C3C926" w14:textId="77777777" w:rsidR="00EF1CDF" w:rsidRDefault="00A505AB">
            <w:r>
              <w:t>Illness- Confirmed case COVID-19</w:t>
            </w:r>
          </w:p>
        </w:tc>
        <w:tc>
          <w:tcPr>
            <w:tcW w:w="6237" w:type="dxa"/>
          </w:tcPr>
          <w:p w14:paraId="60088A0C" w14:textId="77777777" w:rsidR="00EF1CDF" w:rsidRDefault="00A505AB">
            <w:r>
              <w:t>Confirmed case of coronavirus (COVID-19)</w:t>
            </w:r>
          </w:p>
        </w:tc>
      </w:tr>
    </w:tbl>
    <w:p w14:paraId="4B3E890C" w14:textId="77777777" w:rsidR="00EF1CDF" w:rsidRDefault="00A505AB">
      <w:r>
        <w:t xml:space="preserve">For a detailed description of the set of sub codes see the DfE </w:t>
      </w:r>
      <w:r>
        <w:t>document below:</w:t>
      </w:r>
    </w:p>
    <w:p w14:paraId="391C64FB" w14:textId="77777777" w:rsidR="00EF1CDF" w:rsidRDefault="00A505AB">
      <w:hyperlink r:id="rId5" w:history="1">
        <w:r>
          <w:rPr>
            <w:rStyle w:val="Hyperlink"/>
          </w:rPr>
          <w:t>https://assets.publishing.service.gov.uk/government/uploads/system/uploads/attachment_data/file/965878/Recording_non-attendance_related_to_coronavirus.pdf</w:t>
        </w:r>
      </w:hyperlink>
    </w:p>
    <w:p w14:paraId="115ABFF0" w14:textId="77777777" w:rsidR="00EF1CDF" w:rsidRDefault="00A505AB">
      <w:pPr>
        <w:rPr>
          <w:b/>
          <w:u w:val="single"/>
        </w:rPr>
      </w:pPr>
      <w:r>
        <w:rPr>
          <w:b/>
          <w:u w:val="single"/>
        </w:rPr>
        <w:t>How to record subcodes in the register</w:t>
      </w:r>
    </w:p>
    <w:p w14:paraId="618209FD" w14:textId="77777777" w:rsidR="00EF1CDF" w:rsidRDefault="00A505AB">
      <w:r>
        <w:t>Subcodes for X mar</w:t>
      </w:r>
      <w:r>
        <w:t>k and I mark can be recorded in the register and edit marks.</w:t>
      </w:r>
    </w:p>
    <w:p w14:paraId="54C62AC4" w14:textId="77777777" w:rsidR="00EF1CDF" w:rsidRDefault="00A505AB">
      <w:pPr>
        <w:pStyle w:val="ListParagraph"/>
        <w:numPr>
          <w:ilvl w:val="0"/>
          <w:numId w:val="1"/>
        </w:numPr>
      </w:pPr>
      <w:r>
        <w:t>Open the register or edit marks and enter either an I or X code accordingly</w:t>
      </w:r>
    </w:p>
    <w:p w14:paraId="516384B5" w14:textId="77777777" w:rsidR="00EF1CDF" w:rsidRDefault="00A505AB">
      <w:pPr>
        <w:pStyle w:val="ListParagraph"/>
        <w:numPr>
          <w:ilvl w:val="0"/>
          <w:numId w:val="1"/>
        </w:numPr>
      </w:pPr>
      <w:r>
        <w:t xml:space="preserve">Right click on the mark and select </w:t>
      </w:r>
      <w:r>
        <w:rPr>
          <w:b/>
        </w:rPr>
        <w:t>Enter subcode.</w:t>
      </w:r>
      <w:r>
        <w:t xml:space="preserve"> </w:t>
      </w:r>
    </w:p>
    <w:p w14:paraId="71E6F5FB" w14:textId="77777777" w:rsidR="00EF1CDF" w:rsidRDefault="00EF1CDF">
      <w:pPr>
        <w:pStyle w:val="ListParagraph"/>
      </w:pPr>
    </w:p>
    <w:p w14:paraId="4477A368" w14:textId="77777777" w:rsidR="00EF1CDF" w:rsidRDefault="00A505AB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BFBF319" wp14:editId="7BA9DF9E">
            <wp:extent cx="3510340" cy="1435671"/>
            <wp:effectExtent l="57150" t="57150" r="109220" b="107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4074" cy="1445378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C4A51F" w14:textId="77777777" w:rsidR="00EF1CDF" w:rsidRDefault="00EF1CDF">
      <w:pPr>
        <w:pStyle w:val="ListParagraph"/>
        <w:jc w:val="center"/>
      </w:pPr>
    </w:p>
    <w:p w14:paraId="5EFF7605" w14:textId="77777777" w:rsidR="00EF1CDF" w:rsidRDefault="00A505AB">
      <w:pPr>
        <w:pStyle w:val="ListParagraph"/>
        <w:numPr>
          <w:ilvl w:val="0"/>
          <w:numId w:val="1"/>
        </w:numPr>
      </w:pPr>
      <w:r>
        <w:t xml:space="preserve">A pop up box will appear, select the desired subcode from the dropdown and click </w:t>
      </w:r>
      <w:r>
        <w:rPr>
          <w:b/>
        </w:rPr>
        <w:t>ok</w:t>
      </w:r>
      <w:r>
        <w:t>. Once a subcode has been successfully entered you will see a small blue triangle in the bottom right of the cell.</w:t>
      </w:r>
    </w:p>
    <w:p w14:paraId="095F7CE7" w14:textId="77777777" w:rsidR="00EF1CDF" w:rsidRDefault="00A505AB">
      <w:pPr>
        <w:pStyle w:val="ListParagraph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EF4B2ED" wp14:editId="4C80F1C2">
            <wp:extent cx="3442192" cy="1664898"/>
            <wp:effectExtent l="57150" t="57150" r="120650" b="1073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8052" cy="16870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4770A7" w14:textId="77777777" w:rsidR="00EF1CDF" w:rsidRDefault="00EF1CDF">
      <w:pPr>
        <w:pStyle w:val="ListParagraph"/>
      </w:pPr>
    </w:p>
    <w:p w14:paraId="62B97C20" w14:textId="77777777" w:rsidR="00EF1CDF" w:rsidRDefault="00A505AB">
      <w:pPr>
        <w:pStyle w:val="ListParagraph"/>
        <w:numPr>
          <w:ilvl w:val="0"/>
          <w:numId w:val="1"/>
        </w:numPr>
      </w:pPr>
      <w:r>
        <w:t xml:space="preserve">To enter a sub code over a range of sessions, click on </w:t>
      </w:r>
      <w:r>
        <w:t xml:space="preserve">the first I or X code and hold down the shift key then click on the last code in the range to highlight them, now right click and select </w:t>
      </w:r>
      <w:r>
        <w:rPr>
          <w:b/>
        </w:rPr>
        <w:t>Enter Subcode.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F1CDF" w14:paraId="09647AB0" w14:textId="77777777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14:paraId="00DBC014" w14:textId="77777777" w:rsidR="00EF1CDF" w:rsidRDefault="00A505AB">
            <w:r>
              <w:t xml:space="preserve">Note: If the </w:t>
            </w:r>
            <w:r>
              <w:rPr>
                <w:b/>
              </w:rPr>
              <w:t>Enter</w:t>
            </w:r>
            <w:r>
              <w:t xml:space="preserve"> </w:t>
            </w:r>
            <w:r>
              <w:rPr>
                <w:b/>
              </w:rPr>
              <w:t>Subcode</w:t>
            </w:r>
            <w:r>
              <w:t xml:space="preserve"> option is grey out, click on the </w:t>
            </w:r>
            <w:r>
              <w:rPr>
                <w:b/>
              </w:rPr>
              <w:t>Preserve</w:t>
            </w:r>
            <w:r>
              <w:t xml:space="preserve"> Icon that looks like a padlock to allow you to </w:t>
            </w:r>
            <w:r>
              <w:rPr>
                <w:b/>
              </w:rPr>
              <w:t>Overwrite</w:t>
            </w:r>
            <w:r>
              <w:t xml:space="preserve"> a mark</w:t>
            </w:r>
          </w:p>
        </w:tc>
      </w:tr>
    </w:tbl>
    <w:p w14:paraId="6EC366FC" w14:textId="77777777" w:rsidR="00EF1CDF" w:rsidRDefault="00EF1CDF"/>
    <w:p w14:paraId="5952CDF7" w14:textId="77777777" w:rsidR="00EF1CDF" w:rsidRDefault="00A505AB">
      <w:pPr>
        <w:rPr>
          <w:b/>
          <w:u w:val="single"/>
        </w:rPr>
      </w:pPr>
      <w:r>
        <w:rPr>
          <w:b/>
          <w:u w:val="single"/>
        </w:rPr>
        <w:t>Deleting an incorrect subcode</w:t>
      </w:r>
    </w:p>
    <w:p w14:paraId="58B45B10" w14:textId="77777777" w:rsidR="00EF1CDF" w:rsidRDefault="00A505AB">
      <w:pPr>
        <w:pStyle w:val="ListParagraph"/>
        <w:numPr>
          <w:ilvl w:val="0"/>
          <w:numId w:val="2"/>
        </w:numPr>
      </w:pPr>
      <w:r>
        <w:t xml:space="preserve">To delete a subcode, enter a new mark in the cell. If you want to delete the subcode but keep the mark, right click on the mark, select </w:t>
      </w:r>
      <w:r>
        <w:rPr>
          <w:b/>
        </w:rPr>
        <w:t>Enter Subcode</w:t>
      </w:r>
      <w:r>
        <w:t xml:space="preserve"> and press</w:t>
      </w:r>
      <w:r>
        <w:t xml:space="preserve"> delete on the keyboard to remove the highlighted subcode.</w:t>
      </w:r>
    </w:p>
    <w:p w14:paraId="1A1668F4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09C77A25" wp14:editId="44A588AD">
            <wp:extent cx="3019246" cy="1379220"/>
            <wp:effectExtent l="57150" t="57150" r="105410" b="1066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19" t="3975" r="2092" b="5196"/>
                    <a:stretch/>
                  </pic:blipFill>
                  <pic:spPr bwMode="auto">
                    <a:xfrm>
                      <a:off x="0" y="0"/>
                      <a:ext cx="3047757" cy="1392244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520F2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1D792745" wp14:editId="4BE4546A">
            <wp:extent cx="3027872" cy="1387870"/>
            <wp:effectExtent l="57150" t="57150" r="115570" b="1174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09" t="3447" r="1565" b="4114"/>
                    <a:stretch/>
                  </pic:blipFill>
                  <pic:spPr bwMode="auto">
                    <a:xfrm>
                      <a:off x="0" y="0"/>
                      <a:ext cx="3053447" cy="1399593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DC89D" w14:textId="77777777" w:rsidR="00EF1CDF" w:rsidRDefault="00EF1C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9"/>
      </w:tblGrid>
      <w:tr w:rsidR="00EF1CDF" w14:paraId="2ACA5E23" w14:textId="77777777">
        <w:trPr>
          <w:trHeight w:val="753"/>
          <w:jc w:val="center"/>
        </w:trPr>
        <w:tc>
          <w:tcPr>
            <w:tcW w:w="9219" w:type="dxa"/>
            <w:shd w:val="clear" w:color="auto" w:fill="D9D9D9" w:themeFill="background1" w:themeFillShade="D9"/>
          </w:tcPr>
          <w:p w14:paraId="73563408" w14:textId="77777777" w:rsidR="00EF1CDF" w:rsidRDefault="00A505AB">
            <w:pPr>
              <w:spacing w:after="160" w:line="259" w:lineRule="auto"/>
            </w:pPr>
            <w:r>
              <w:t>Note: Where session marks are replaced using the following routines, any subcodes previously entered for the affected sessions will be lost:</w:t>
            </w:r>
          </w:p>
          <w:p w14:paraId="4D1700A1" w14:textId="77777777" w:rsidR="00EF1CDF" w:rsidRDefault="00A505AB">
            <w:r>
              <w:t xml:space="preserve">• Enter a code over a date range (via </w:t>
            </w:r>
            <w:r>
              <w:rPr>
                <w:b/>
              </w:rPr>
              <w:t>Focus | Atten</w:t>
            </w:r>
            <w:r>
              <w:rPr>
                <w:b/>
              </w:rPr>
              <w:t>dance | Enter a Code over a Date Range</w:t>
            </w:r>
            <w:r>
              <w:t xml:space="preserve">) </w:t>
            </w:r>
          </w:p>
          <w:p w14:paraId="068005B8" w14:textId="77777777" w:rsidR="00EF1CDF" w:rsidRDefault="00A505AB">
            <w:r>
              <w:t xml:space="preserve">• Enter a weekly pattern (via </w:t>
            </w:r>
            <w:r>
              <w:rPr>
                <w:b/>
              </w:rPr>
              <w:t>Focus | Attendance | Enter a Weekly Pattern</w:t>
            </w:r>
            <w:r>
              <w:t xml:space="preserve">) </w:t>
            </w:r>
          </w:p>
          <w:p w14:paraId="78682687" w14:textId="77777777" w:rsidR="00EF1CDF" w:rsidRDefault="00A505AB">
            <w:pPr>
              <w:spacing w:after="160" w:line="259" w:lineRule="auto"/>
            </w:pPr>
            <w:r>
              <w:t>• Recording exclusions (via</w:t>
            </w:r>
            <w:r>
              <w:rPr>
                <w:b/>
              </w:rPr>
              <w:t xml:space="preserve"> Focus | Pupil/Student | Exclusions and Focus | Pupil/Student | Pupil/Student Details – Exclusions</w:t>
            </w:r>
            <w:r>
              <w:t xml:space="preserve"> in the Links </w:t>
            </w:r>
            <w:r>
              <w:t>panel)</w:t>
            </w:r>
          </w:p>
          <w:p w14:paraId="4E9AFC35" w14:textId="77777777" w:rsidR="00EF1CDF" w:rsidRDefault="00A505AB">
            <w:pPr>
              <w:spacing w:after="160" w:line="259" w:lineRule="auto"/>
            </w:pPr>
            <w:r>
              <w:t xml:space="preserve">For Secondary schools, </w:t>
            </w:r>
            <w:r>
              <w:rPr>
                <w:b/>
              </w:rPr>
              <w:t xml:space="preserve">Subcodes </w:t>
            </w:r>
            <w:r>
              <w:t xml:space="preserve">are only applicable to session marks and not lesson marks. To avoid subcodes entered in a session being overwritten the </w:t>
            </w:r>
            <w:r>
              <w:rPr>
                <w:b/>
              </w:rPr>
              <w:t xml:space="preserve">Copy Lesson Marks To Session </w:t>
            </w:r>
            <w:r>
              <w:t>in</w:t>
            </w:r>
            <w:r>
              <w:rPr>
                <w:b/>
              </w:rPr>
              <w:t xml:space="preserve"> Lesson Monitor Setup</w:t>
            </w:r>
            <w:r>
              <w:t xml:space="preserve"> needs to be unticked.</w:t>
            </w:r>
          </w:p>
        </w:tc>
      </w:tr>
    </w:tbl>
    <w:p w14:paraId="308A393C" w14:textId="77777777" w:rsidR="00EF1CDF" w:rsidRDefault="00EF1CDF">
      <w:pPr>
        <w:rPr>
          <w:u w:val="single"/>
        </w:rPr>
      </w:pPr>
    </w:p>
    <w:p w14:paraId="41C28871" w14:textId="77777777" w:rsidR="00EF1CDF" w:rsidRDefault="00A505AB">
      <w:r>
        <w:rPr>
          <w:noProof/>
          <w:lang w:eastAsia="en-GB"/>
        </w:rPr>
        <w:drawing>
          <wp:inline distT="0" distB="0" distL="0" distR="0" wp14:anchorId="118731E4" wp14:editId="0A91A0F8">
            <wp:extent cx="6645910" cy="1470660"/>
            <wp:effectExtent l="57150" t="57150" r="116840" b="1104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645910" cy="1470660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2221" w14:textId="77777777" w:rsidR="00EF1CDF" w:rsidRDefault="00EF1CDF"/>
    <w:p w14:paraId="169F25FB" w14:textId="77777777" w:rsidR="00EF1CDF" w:rsidRDefault="00A505AB">
      <w:pPr>
        <w:rPr>
          <w:b/>
          <w:u w:val="single"/>
        </w:rPr>
      </w:pPr>
      <w:r>
        <w:rPr>
          <w:b/>
          <w:u w:val="single"/>
        </w:rPr>
        <w:t xml:space="preserve">Covid 19 </w:t>
      </w:r>
      <w:r>
        <w:rPr>
          <w:b/>
          <w:u w:val="single"/>
        </w:rPr>
        <w:t>Daily Attendance Analysis Report</w:t>
      </w:r>
    </w:p>
    <w:p w14:paraId="7280C76D" w14:textId="77777777" w:rsidR="00EF1CDF" w:rsidRDefault="00A505AB">
      <w:r>
        <w:t>Once the information has been entered in SIMS the Covid 19 Daily Attendance Analysis Report can be run to assist with the completion of the DfE Educational Status form.</w:t>
      </w:r>
    </w:p>
    <w:p w14:paraId="516F981C" w14:textId="77777777" w:rsidR="00EF1CDF" w:rsidRDefault="00A505AB">
      <w:pPr>
        <w:pStyle w:val="ListParagraph"/>
        <w:numPr>
          <w:ilvl w:val="0"/>
          <w:numId w:val="3"/>
        </w:numPr>
      </w:pPr>
      <w:r>
        <w:t>Once the report has been downloaded, right click and s</w:t>
      </w:r>
      <w:r>
        <w:t>elect extract all, you can use the suggested path.</w:t>
      </w:r>
    </w:p>
    <w:p w14:paraId="412B3939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0FD8F2DC" wp14:editId="10E98E35">
            <wp:extent cx="1932317" cy="803365"/>
            <wp:effectExtent l="57150" t="57150" r="106045" b="1111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97" t="5126" r="1368"/>
                    <a:stretch/>
                  </pic:blipFill>
                  <pic:spPr bwMode="auto">
                    <a:xfrm>
                      <a:off x="0" y="0"/>
                      <a:ext cx="1946671" cy="809333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F0B63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6B014824" wp14:editId="2B397275">
            <wp:extent cx="3093057" cy="2316880"/>
            <wp:effectExtent l="57150" t="57150" r="107950" b="1219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7710" cy="2327856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A499FA" w14:textId="77777777" w:rsidR="00EF1CDF" w:rsidRDefault="00A505AB">
      <w:pPr>
        <w:pStyle w:val="ListParagraph"/>
        <w:numPr>
          <w:ilvl w:val="0"/>
          <w:numId w:val="3"/>
        </w:numPr>
      </w:pPr>
      <w:r>
        <w:t xml:space="preserve">In SIMS follow the path </w:t>
      </w:r>
      <w:r>
        <w:rPr>
          <w:b/>
        </w:rPr>
        <w:t>Report | Import Reports</w:t>
      </w:r>
      <w:r>
        <w:t>, locate the report folder you have extracted, open it and select the report. Click Import and the ok.</w:t>
      </w:r>
    </w:p>
    <w:p w14:paraId="40B3CA76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55E8C333" wp14:editId="5D956D6B">
            <wp:extent cx="3998805" cy="1474084"/>
            <wp:effectExtent l="57150" t="57150" r="116205" b="1073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626"/>
                    <a:stretch/>
                  </pic:blipFill>
                  <pic:spPr bwMode="auto">
                    <a:xfrm>
                      <a:off x="0" y="0"/>
                      <a:ext cx="4022792" cy="1482927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AE503" w14:textId="77777777" w:rsidR="00EF1CDF" w:rsidRDefault="00A505AB">
      <w:pPr>
        <w:pStyle w:val="ListParagraph"/>
        <w:numPr>
          <w:ilvl w:val="0"/>
          <w:numId w:val="3"/>
        </w:numPr>
      </w:pPr>
      <w:r>
        <w:t xml:space="preserve">Open </w:t>
      </w:r>
      <w:r>
        <w:rPr>
          <w:b/>
        </w:rPr>
        <w:t>Report | Run Report</w:t>
      </w:r>
      <w:r>
        <w:t xml:space="preserve"> and click on </w:t>
      </w:r>
      <w:r>
        <w:rPr>
          <w:b/>
        </w:rPr>
        <w:t>Students</w:t>
      </w:r>
      <w:r>
        <w:t>, f</w:t>
      </w:r>
      <w:r>
        <w:t xml:space="preserve">ind the report that was imported, click on the </w:t>
      </w:r>
      <w:r>
        <w:rPr>
          <w:b/>
        </w:rPr>
        <w:t>Updated</w:t>
      </w:r>
      <w:r>
        <w:t xml:space="preserve"> column to sort the reports to most recently updated. Double click on the report to run.</w:t>
      </w:r>
    </w:p>
    <w:p w14:paraId="3BE07D41" w14:textId="77777777" w:rsidR="00EF1CDF" w:rsidRDefault="00EF1CDF"/>
    <w:p w14:paraId="2E32064C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48937F4E" wp14:editId="5D87C094">
            <wp:extent cx="5581815" cy="399379"/>
            <wp:effectExtent l="57150" t="57150" r="114300" b="1155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389" t="12225" r="1161" b="-1"/>
                    <a:stretch/>
                  </pic:blipFill>
                  <pic:spPr bwMode="auto">
                    <a:xfrm>
                      <a:off x="0" y="0"/>
                      <a:ext cx="5585400" cy="399636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869B9" w14:textId="77777777" w:rsidR="00EF1CDF" w:rsidRDefault="00A505AB">
      <w:pPr>
        <w:pStyle w:val="ListParagraph"/>
        <w:numPr>
          <w:ilvl w:val="0"/>
          <w:numId w:val="3"/>
        </w:numPr>
      </w:pPr>
      <w:r>
        <w:t>In the pop up box make sure both dates are the same, click ok.</w:t>
      </w:r>
    </w:p>
    <w:p w14:paraId="396CCF6D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3BF3E786" wp14:editId="1705DFE4">
            <wp:extent cx="3307742" cy="2481722"/>
            <wp:effectExtent l="57150" t="57150" r="121285" b="1092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7417" cy="2496484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5E4DAF" w14:textId="77777777" w:rsidR="00EF1CDF" w:rsidRDefault="00A505AB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</w:rPr>
        <w:t>SIMS</w:t>
      </w:r>
      <w:r>
        <w:t xml:space="preserve"> </w:t>
      </w:r>
      <w:r>
        <w:rPr>
          <w:b/>
        </w:rPr>
        <w:t>Analysis</w:t>
      </w:r>
      <w:r>
        <w:t xml:space="preserve"> report will pop up, you can</w:t>
      </w:r>
      <w:r>
        <w:t xml:space="preserve"> change the row to show the type or description of the subcode by selecting another option from the </w:t>
      </w:r>
      <w:r>
        <w:rPr>
          <w:b/>
        </w:rPr>
        <w:t>Row</w:t>
      </w:r>
      <w:r>
        <w:t xml:space="preserve"> dropdown.</w:t>
      </w:r>
    </w:p>
    <w:p w14:paraId="22D6F82F" w14:textId="77777777" w:rsidR="00EF1CDF" w:rsidRDefault="00A505AB">
      <w:pPr>
        <w:jc w:val="center"/>
      </w:pPr>
      <w:r>
        <w:rPr>
          <w:noProof/>
          <w:lang w:eastAsia="en-GB"/>
        </w:rPr>
        <w:drawing>
          <wp:inline distT="0" distB="0" distL="0" distR="0" wp14:anchorId="576AE9FF" wp14:editId="3B9FB002">
            <wp:extent cx="3848431" cy="2837299"/>
            <wp:effectExtent l="57150" t="57150" r="114300" b="1155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936" cy="2844307"/>
                    </a:xfrm>
                    <a:prstGeom prst="rect">
                      <a:avLst/>
                    </a:prstGeom>
                    <a:ln w="952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1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3156"/>
    <w:multiLevelType w:val="hybridMultilevel"/>
    <w:tmpl w:val="955A0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764"/>
    <w:multiLevelType w:val="hybridMultilevel"/>
    <w:tmpl w:val="BFB2A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B67F4"/>
    <w:multiLevelType w:val="hybridMultilevel"/>
    <w:tmpl w:val="E4DA0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DF"/>
    <w:rsid w:val="00A505AB"/>
    <w:rsid w:val="00E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E9A4"/>
  <w15:chartTrackingRefBased/>
  <w15:docId w15:val="{93E7D44F-1E19-48DF-8BC7-8CB2DA9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Troy Daly</cp:lastModifiedBy>
  <cp:revision>2</cp:revision>
  <dcterms:created xsi:type="dcterms:W3CDTF">2021-03-31T13:23:00Z</dcterms:created>
  <dcterms:modified xsi:type="dcterms:W3CDTF">2021-03-31T13:23:00Z</dcterms:modified>
</cp:coreProperties>
</file>